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534AC0" w:rsidRDefault="00832CE5" w:rsidP="00B86461">
      <w:pPr>
        <w:pStyle w:val="Head"/>
      </w:pPr>
      <w:r>
        <w:t xml:space="preserve">Izstāde “Samoter/Asphaltica 2023” - ilgtspējīgas </w:t>
      </w:r>
      <w:r>
        <w:rPr>
          <w:i/>
          <w:iCs/>
        </w:rPr>
        <w:t>Wirtgen Group</w:t>
      </w:r>
      <w:r>
        <w:t xml:space="preserve"> tehnoloģijas ceļu būves nozarei </w:t>
      </w:r>
    </w:p>
    <w:p w14:paraId="6C340F44" w14:textId="3A4E9787" w:rsidR="00B86461" w:rsidRPr="00534AC0" w:rsidRDefault="002A6B5C" w:rsidP="00175235">
      <w:pPr>
        <w:pStyle w:val="Subhead"/>
      </w:pPr>
      <w:r>
        <w:t>Ražošanas sistēmas optimizē infrastruktūras projektu darba plūsmas</w:t>
      </w:r>
    </w:p>
    <w:p w14:paraId="4C54B93A" w14:textId="122A2027" w:rsidR="00B24860" w:rsidRPr="00534AC0" w:rsidRDefault="00003179" w:rsidP="000144B1">
      <w:pPr>
        <w:pStyle w:val="Teaser"/>
      </w:pPr>
      <w:r>
        <w:t xml:space="preserve">No 2023. gada 3. līdz 7. maijam Veronā </w:t>
      </w:r>
      <w:r>
        <w:rPr>
          <w:i/>
          <w:iCs/>
        </w:rPr>
        <w:t>Wirtgen Group</w:t>
      </w:r>
      <w:r>
        <w:t xml:space="preserve"> prezentēs savu plašo produktu portfeli ar vienpadsmit</w:t>
      </w:r>
      <w:r w:rsidR="00DE32FF">
        <w:t xml:space="preserve"> </w:t>
      </w:r>
      <w:r>
        <w:rPr>
          <w:i/>
          <w:iCs/>
        </w:rPr>
        <w:t>Wirtgen, Vögele, Hamm</w:t>
      </w:r>
      <w:r>
        <w:t xml:space="preserve"> un </w:t>
      </w:r>
      <w:r>
        <w:rPr>
          <w:i/>
          <w:iCs/>
        </w:rPr>
        <w:t>Kleemann</w:t>
      </w:r>
      <w:r>
        <w:t xml:space="preserve"> eksponātiem. Izstādē aplūkojamie risinājumi ir visdažādākie - no aukstās frēzēšanas un aukstās pārstrādes līdz asfalta ieklāšanai un blīvēšanai, kā arī dabīgā akmens un otrreizējās pārstrādes materiālu apstrādei. Galvenā uzmanība tiks pievērsta mašīnām un galvenokārt to digitālajām atbalsta un dokumentācijas sistēmām. </w:t>
      </w:r>
    </w:p>
    <w:p w14:paraId="252FABA2" w14:textId="607EDD35" w:rsidR="00B24860" w:rsidRPr="00534AC0" w:rsidRDefault="00D77650" w:rsidP="00D77650">
      <w:pPr>
        <w:pStyle w:val="Teaserhead"/>
      </w:pPr>
      <w:r>
        <w:t>Ražošanas sistēmas maina ceļu būves veidolu</w:t>
      </w:r>
    </w:p>
    <w:p w14:paraId="009CC5A1" w14:textId="065CC295" w:rsidR="00F23E5A" w:rsidRPr="00534AC0" w:rsidRDefault="00B55DE9" w:rsidP="00D77650">
      <w:pPr>
        <w:pStyle w:val="Standardabsatz"/>
        <w:rPr>
          <w:rFonts w:cs="Arial"/>
          <w:bCs/>
          <w:color w:val="000000"/>
          <w:szCs w:val="22"/>
        </w:rPr>
      </w:pPr>
      <w:r>
        <w:t xml:space="preserve">Nākotnē moderna ceļu būve būs iespējama tikai ar ilgtspējīgiem un efektīviem risinājumiem, kas atbilst pieaugošajām prasībām pēc vides aizsardzības un cilvēku un dabas drošības. Ņemot to vērā, </w:t>
      </w:r>
      <w:r>
        <w:rPr>
          <w:i/>
          <w:iCs/>
        </w:rPr>
        <w:t>Wirtgen Group</w:t>
      </w:r>
      <w:r>
        <w:t xml:space="preserve"> atbalsta savus klientus ne tikai ar inovatīviem risinājumiem atsevišķām mašīnām, bet arī ar "zaļo" piedziņas sistēmu tehnoloģiju izstrādi un īstenošanu. </w:t>
      </w:r>
      <w:r>
        <w:rPr>
          <w:color w:val="000000"/>
        </w:rPr>
        <w:t xml:space="preserve">Turklāt ar savām ražošanas sistēmām grupa nodrošina visaptverošus risinājumus, kas nepieciešami klientiem, lai tie varētu rentabli un ilgtspējīgi īstenot savus (ceļu) būvniecības projektus. Tas ietver ne tikai pareizi izmērītas mašīnas vai mašīnu kombinācijas, bet arī ideāli optimizētus pielietojumus un metodes. </w:t>
      </w:r>
      <w:r>
        <w:t>Papildus iekļautas arī atbilstošas (digitālās) palīgsistēmas vai telemātikas un automatizācijas sistēmas, dokumentācijas sistēmas un konkrētam pielietojumam specifiski iekārtu papildinājumi, kas atbalsta attiecīgos procesus.</w:t>
      </w:r>
    </w:p>
    <w:p w14:paraId="05113BCF" w14:textId="7C36DF11" w:rsidR="0092511D" w:rsidRPr="00534AC0" w:rsidRDefault="004F4C26" w:rsidP="000C0689">
      <w:pPr>
        <w:pStyle w:val="Teaserhead"/>
        <w:jc w:val="left"/>
      </w:pPr>
      <w:r>
        <w:t>Eksponāti ar digitālās palīdzības un dokumentācijas sistēmām izstādē "Samoter/Asphaltica 2023"</w:t>
      </w:r>
    </w:p>
    <w:p w14:paraId="23561798" w14:textId="5073BF76" w:rsidR="002F3973" w:rsidRPr="00534AC0" w:rsidRDefault="004F4C26" w:rsidP="002F3973">
      <w:pPr>
        <w:pStyle w:val="Standardabsatz"/>
        <w:spacing w:after="0"/>
      </w:pPr>
      <w:r>
        <w:t xml:space="preserve">Viens no </w:t>
      </w:r>
      <w:r>
        <w:rPr>
          <w:i/>
          <w:iCs/>
        </w:rPr>
        <w:t>Wirtgen Group</w:t>
      </w:r>
      <w:r>
        <w:t xml:space="preserve"> stenda (11. halle, stends C1-D2) akcentiem ir “Wirtgen Performance Tracker” (WPT), ko var apskatīt kompaktajā frēzmašīnā </w:t>
      </w:r>
      <w:r>
        <w:rPr>
          <w:i/>
          <w:iCs/>
        </w:rPr>
        <w:t>Wirtgen</w:t>
      </w:r>
      <w:r>
        <w:t xml:space="preserve"> W 100 Fi un lielajā frēzmašīnā W 200 Fi. Minētā sistēma ļauj precīzi dokumentēt frēzēšanas veiktspēju un automātiski ģenerē pārskatu, ko var nosūtīt e-pastā mašīnas īpašniekam. Tādējādi tiek samazināts projektu pabeigšanai nepieciešamais laiks, pūles un izmaksas.</w:t>
      </w:r>
    </w:p>
    <w:p w14:paraId="6628C2FD" w14:textId="4F442E6B" w:rsidR="009876BA" w:rsidRPr="00DE32FF" w:rsidRDefault="009876BA" w:rsidP="009876BA">
      <w:pPr>
        <w:pStyle w:val="Teaserhead"/>
        <w:rPr>
          <w:b w:val="0"/>
        </w:rPr>
      </w:pPr>
    </w:p>
    <w:p w14:paraId="75D4606B" w14:textId="6ABE6E5F" w:rsidR="00A959ED" w:rsidRPr="00534AC0" w:rsidRDefault="006C4442" w:rsidP="00A959ED">
      <w:pPr>
        <w:pStyle w:val="Teaserhead"/>
        <w:rPr>
          <w:b w:val="0"/>
        </w:rPr>
      </w:pPr>
      <w:r>
        <w:rPr>
          <w:b w:val="0"/>
        </w:rPr>
        <w:t xml:space="preserve">Papildus augstas veiktspējas ceļa seguma ieklājēju klāstam no mini līdz universālajai klasei </w:t>
      </w:r>
      <w:r>
        <w:rPr>
          <w:b w:val="0"/>
          <w:i/>
          <w:iCs/>
        </w:rPr>
        <w:t>Vögele</w:t>
      </w:r>
      <w:r>
        <w:rPr>
          <w:b w:val="0"/>
        </w:rPr>
        <w:t xml:space="preserve"> prezentēs arī savu digitālo risinājumu būvlaukuma dokumentācijai. Piemēram, riteņu ieklājējs SUPER 1803-3i ir aprīkots ar sistēmām WITOS “Paving Docu” and “RoadScan" - bezkontakta temperatūras mērīšanas sistēmas visas ieklātās virsmas temperatūras kontrolei. Šo divu sistēmu kombinācija nodrošina arī ātru un vienkāršu digitālās dokumentācijas sagatavošanu un visu ar bruģēšanu saistīto datu analīzi viedtālrunī.</w:t>
      </w:r>
    </w:p>
    <w:p w14:paraId="15BA6764" w14:textId="77777777" w:rsidR="009876BA" w:rsidRPr="00DE32FF" w:rsidRDefault="009876BA" w:rsidP="009876BA">
      <w:pPr>
        <w:pStyle w:val="Teaserhead"/>
        <w:rPr>
          <w:b w:val="0"/>
        </w:rPr>
      </w:pPr>
    </w:p>
    <w:p w14:paraId="06AD3DFB" w14:textId="3506A1B9" w:rsidR="00ED5C12" w:rsidRPr="00534AC0" w:rsidRDefault="00382B7A" w:rsidP="00ED5C12">
      <w:pPr>
        <w:pStyle w:val="Standardabsatz"/>
      </w:pPr>
      <w:r>
        <w:t xml:space="preserve">Papildus elektriskajam tandēma veltnim HD 12e OT ar akumulatoru </w:t>
      </w:r>
      <w:r>
        <w:rPr>
          <w:i/>
          <w:iCs/>
        </w:rPr>
        <w:t>Hamm</w:t>
      </w:r>
      <w:r>
        <w:t xml:space="preserve"> prezentēs arī jaunās HX un HC sērijas mašīnas. Veronā būs apskatāms arī HX90 VS-OS tandēma veltnis ar šarnīra stūri un HC 130i </w:t>
      </w:r>
      <w:r w:rsidR="004501CF">
        <w:t>grunts veltnis</w:t>
      </w:r>
      <w:r>
        <w:t xml:space="preserve">, kas aprīkots ar sistēmu "Smart Doc", </w:t>
      </w:r>
      <w:r>
        <w:lastRenderedPageBreak/>
        <w:t>lai veiktu visaptverošus blīvēšanas procesa mērījumus un dokumentēšanu asfalta seguma ieklāšanas un zemes darbu projektos. Izstādē iekārta HX90 VS-OS būs aprīkota arī ar jauno blīvēšanas palīgsistēmu "Smart Compact". "Smart Compact" ir izšķiroša nozīme, nodrošinot blīvēšanas kvalitāti un saudzējot mašīnu un resursus, aktīvi palīdzot blīvētāja operatoram izvēlēties vajadzīgo blīvēšanas enerģijas daudzumu.</w:t>
      </w:r>
    </w:p>
    <w:p w14:paraId="4386E4C7" w14:textId="73372EF7" w:rsidR="00023521" w:rsidRPr="00534AC0" w:rsidRDefault="00E67299" w:rsidP="00ED5C12">
      <w:pPr>
        <w:pStyle w:val="Standardabsatz"/>
      </w:pPr>
      <w:r>
        <w:rPr>
          <w:i/>
          <w:iCs/>
        </w:rPr>
        <w:t>Kleemann</w:t>
      </w:r>
      <w:r>
        <w:t xml:space="preserve"> digitālā vadības koncepcija SPECTIVE ir devusi revolucionāru ieguldījumu tādu drupināšanas iekārtu kā MC 110i EVO2 vadības iespēju optimizācijā. Paplašinātā sistēma SPECTIVE CONNECT tagad ļauj arī attēlot visu būtisko procesa informāciju un pārskatus viedtālrunī, operatoram neizkāpjot no materiālu iekrāvēja.</w:t>
      </w:r>
    </w:p>
    <w:p w14:paraId="151FD40A" w14:textId="09A1517D" w:rsidR="00941170" w:rsidRPr="00534AC0" w:rsidRDefault="00941170" w:rsidP="00941170">
      <w:pPr>
        <w:pStyle w:val="Teaserhead"/>
        <w:jc w:val="left"/>
      </w:pPr>
      <w:r>
        <w:t xml:space="preserve">Izstādi papildinās </w:t>
      </w:r>
      <w:r>
        <w:rPr>
          <w:i/>
          <w:iCs/>
        </w:rPr>
        <w:t>Wirtgen Macchine</w:t>
      </w:r>
      <w:r>
        <w:t xml:space="preserve"> ekspertu prezentāciju sērija</w:t>
      </w:r>
    </w:p>
    <w:p w14:paraId="5122613E" w14:textId="2777693F" w:rsidR="001C15E9" w:rsidRPr="00534AC0" w:rsidRDefault="00433707" w:rsidP="000007E9">
      <w:pPr>
        <w:pStyle w:val="Standardabsatz"/>
      </w:pPr>
      <w:r>
        <w:t xml:space="preserve">Izstādes laikā </w:t>
      </w:r>
      <w:r>
        <w:rPr>
          <w:i/>
          <w:iCs/>
        </w:rPr>
        <w:t>Wirtgen Group</w:t>
      </w:r>
      <w:r>
        <w:t xml:space="preserve"> eksperti stāstīs arī par ilgtspējības jautājumiem ceļu būvniecības procesu ķēdē. Piemēram, Davide Mikēle Donza (Davide Michele D'Onza), </w:t>
      </w:r>
      <w:r>
        <w:rPr>
          <w:i/>
          <w:iCs/>
        </w:rPr>
        <w:t>Wirtgen Macchine</w:t>
      </w:r>
      <w:r>
        <w:t xml:space="preserve"> reģiona vadītājs, sniegs padziļinātu ieskatu par </w:t>
      </w:r>
      <w:r>
        <w:rPr>
          <w:i/>
          <w:iCs/>
        </w:rPr>
        <w:t>Wirtgen</w:t>
      </w:r>
      <w:r>
        <w:t xml:space="preserve"> CR sērijas iekārtu aukstās pārstrādes tehnoloģijām.</w:t>
      </w:r>
    </w:p>
    <w:p w14:paraId="6908DD75" w14:textId="77777777" w:rsidR="00433707" w:rsidRPr="00DE32FF" w:rsidRDefault="00433707" w:rsidP="000007E9">
      <w:pPr>
        <w:pStyle w:val="Standardabsatz"/>
      </w:pPr>
    </w:p>
    <w:p w14:paraId="2746317C" w14:textId="5C31FB65" w:rsidR="007F164D" w:rsidRPr="00534AC0" w:rsidRDefault="007F164D" w:rsidP="007F164D">
      <w:pPr>
        <w:pStyle w:val="Fotos"/>
      </w:pPr>
      <w:r>
        <w:t xml:space="preserve">ATTĒLI: </w:t>
      </w:r>
    </w:p>
    <w:p w14:paraId="784F6E69" w14:textId="65CE9D4D" w:rsidR="00B86461" w:rsidRPr="00534AC0" w:rsidRDefault="00C522DE" w:rsidP="00175235">
      <w:pPr>
        <w:pStyle w:val="BUbold"/>
        <w:rPr>
          <w:bCs/>
          <w:szCs w:val="20"/>
        </w:rPr>
      </w:pPr>
      <w:r>
        <w:rPr>
          <w:b w:val="0"/>
          <w:noProof/>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rPr>
        <w:br/>
      </w:r>
      <w:r>
        <w:t>W_W200Fi_00005_HI</w:t>
      </w:r>
    </w:p>
    <w:p w14:paraId="4863F418" w14:textId="40C47019" w:rsidR="00175235" w:rsidRPr="00534AC0" w:rsidRDefault="008705D5" w:rsidP="00B86461">
      <w:pPr>
        <w:pStyle w:val="Standardabsatz"/>
        <w:rPr>
          <w:sz w:val="20"/>
          <w:szCs w:val="20"/>
        </w:rPr>
      </w:pPr>
      <w:r>
        <w:rPr>
          <w:sz w:val="20"/>
        </w:rPr>
        <w:t>Rentablā un kompaktā aukstās frēzēšanas iekārta W 200 Fi ir pieejama ar  digitālo dokumentācijas sistēmu “Wirtgen Performance Tracker” un digitālo atbalsta sistēmu “Mill Assist”.</w:t>
      </w:r>
    </w:p>
    <w:p w14:paraId="1B407908" w14:textId="106D4EEF" w:rsidR="00175235" w:rsidRPr="00534AC0" w:rsidRDefault="00E004C0" w:rsidP="00175235">
      <w:pPr>
        <w:pStyle w:val="BUbold"/>
        <w:rPr>
          <w:bCs/>
          <w:szCs w:val="14"/>
        </w:rPr>
      </w:pPr>
      <w:r>
        <w:rPr>
          <w:b w:val="0"/>
          <w:noProof/>
        </w:rPr>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rPr>
        <w:br/>
      </w:r>
      <w:r>
        <w:t>W_photo_W240CRi_00105_HI</w:t>
      </w:r>
    </w:p>
    <w:p w14:paraId="136FE6ED" w14:textId="71316E9C" w:rsidR="00731707" w:rsidRPr="00534AC0" w:rsidRDefault="00955DAB" w:rsidP="00175235">
      <w:pPr>
        <w:pStyle w:val="Standardabsatz"/>
        <w:rPr>
          <w:sz w:val="20"/>
          <w:szCs w:val="20"/>
        </w:rPr>
      </w:pPr>
      <w:r>
        <w:rPr>
          <w:sz w:val="20"/>
        </w:rPr>
        <w:t xml:space="preserve">CR sērijas aukstās pārstrādes iekārtas tiek izmantotas rentablai ceļu segumu pārstrādei. </w:t>
      </w:r>
      <w:r>
        <w:rPr>
          <w:i/>
          <w:iCs/>
          <w:sz w:val="20"/>
        </w:rPr>
        <w:t>Wirtgen Macchine</w:t>
      </w:r>
      <w:r>
        <w:rPr>
          <w:sz w:val="20"/>
        </w:rPr>
        <w:t xml:space="preserve"> eksperts savā prezentācijā izstādes laikā skaidro aukstās pārstrādes metodes principus. </w:t>
      </w:r>
    </w:p>
    <w:p w14:paraId="626E0473" w14:textId="3531699D" w:rsidR="008932D9" w:rsidRPr="00534AC0" w:rsidRDefault="008932D9">
      <w:pPr>
        <w:rPr>
          <w:color w:val="FF0000"/>
          <w:lang w:val="en-GB"/>
        </w:rPr>
      </w:pPr>
    </w:p>
    <w:p w14:paraId="4678DE52" w14:textId="7FB426E4" w:rsidR="006E1355" w:rsidRPr="00534AC0" w:rsidRDefault="008932D9" w:rsidP="006E1355">
      <w:pPr>
        <w:pStyle w:val="BUbold"/>
        <w:rPr>
          <w:bCs/>
          <w:szCs w:val="14"/>
        </w:rPr>
      </w:pPr>
      <w:r>
        <w:rPr>
          <w:b w:val="0"/>
          <w:noProof/>
        </w:rPr>
        <w:lastRenderedPageBreak/>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rPr>
        <w:br/>
      </w:r>
      <w:r>
        <w:t>JV_PR_WITOS_Paving_Docu</w:t>
      </w:r>
    </w:p>
    <w:p w14:paraId="0E6521D5" w14:textId="37CB2377" w:rsidR="008932D9" w:rsidRPr="00534AC0" w:rsidRDefault="006E1355" w:rsidP="006E1355">
      <w:pPr>
        <w:pStyle w:val="BUnormal"/>
        <w:rPr>
          <w:color w:val="FF0000"/>
        </w:rPr>
      </w:pPr>
      <w:r>
        <w:t xml:space="preserve">Ieklāšanas temperatūras uzraudzība, izmantojot viedtālruni - WITOS “Paving Docu” lietotāji, kuri izmanto arī </w:t>
      </w:r>
      <w:r>
        <w:rPr>
          <w:i/>
          <w:iCs/>
        </w:rPr>
        <w:t>Vögele</w:t>
      </w:r>
      <w:r>
        <w:t xml:space="preserve"> izstrādāto temperatūras mērīšanas sistēmu “RoadScan”, tagad var izmantot lietotni “Jobsite Temp”, lai reāllaikā izsekotu visus attiecīgos temperatūras datus.</w:t>
      </w:r>
    </w:p>
    <w:p w14:paraId="55326396" w14:textId="6C004703" w:rsidR="00731707" w:rsidRPr="00534AC0" w:rsidRDefault="00731707">
      <w:pPr>
        <w:rPr>
          <w:rFonts w:ascii="Verdana" w:eastAsiaTheme="minorHAnsi" w:hAnsi="Verdana" w:cstheme="minorBidi"/>
          <w:color w:val="FF0000"/>
          <w:sz w:val="22"/>
          <w:lang w:val="en-GB"/>
        </w:rPr>
      </w:pPr>
    </w:p>
    <w:p w14:paraId="291CF194" w14:textId="77777777" w:rsidR="00F7620D" w:rsidRPr="00534AC0" w:rsidRDefault="00C522DE" w:rsidP="00F7620D">
      <w:pPr>
        <w:pStyle w:val="BUbold"/>
      </w:pPr>
      <w:r>
        <w:rPr>
          <w:b w:val="0"/>
          <w:noProof/>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rPr>
        <w:br/>
      </w:r>
      <w:r>
        <w:t>HAMM_Smart Compact</w:t>
      </w:r>
    </w:p>
    <w:p w14:paraId="337BBB23" w14:textId="566C9055" w:rsidR="00175235" w:rsidRPr="00534AC0" w:rsidRDefault="00F7620D" w:rsidP="00F7620D">
      <w:pPr>
        <w:pStyle w:val="BUbold"/>
        <w:rPr>
          <w:b w:val="0"/>
          <w:bCs/>
        </w:rPr>
      </w:pPr>
      <w:r>
        <w:rPr>
          <w:b w:val="0"/>
        </w:rPr>
        <w:t xml:space="preserve">HX sērijā ar blīvēšanas asistentu “Smart Compact” </w:t>
      </w:r>
      <w:r>
        <w:rPr>
          <w:b w:val="0"/>
          <w:i/>
          <w:iCs/>
        </w:rPr>
        <w:t>Hamm</w:t>
      </w:r>
      <w:r>
        <w:rPr>
          <w:b w:val="0"/>
        </w:rPr>
        <w:t xml:space="preserve"> ir automatizējis katra cilindra atsevišķu iestatīšanu, palielinājis procesa uzticamību un pacēlis blīvēšanas kvalitāti līdz pilnīgi jaunam līmenim.</w:t>
      </w:r>
    </w:p>
    <w:p w14:paraId="4AD87E7B" w14:textId="77777777" w:rsidR="00850157" w:rsidRPr="00534AC0" w:rsidRDefault="00850157" w:rsidP="00850157">
      <w:pPr>
        <w:pStyle w:val="Standardabsatz"/>
        <w:rPr>
          <w:sz w:val="20"/>
          <w:szCs w:val="20"/>
          <w:lang w:val="en-GB"/>
        </w:rPr>
      </w:pPr>
    </w:p>
    <w:p w14:paraId="6E790B99" w14:textId="329265DB" w:rsidR="00850157" w:rsidRPr="00534AC0" w:rsidRDefault="00850157" w:rsidP="00850157">
      <w:pPr>
        <w:pStyle w:val="BUbold"/>
        <w:rPr>
          <w:bCs/>
          <w:szCs w:val="20"/>
        </w:rPr>
      </w:pPr>
      <w:r>
        <w:rPr>
          <w:b w:val="0"/>
          <w:noProof/>
        </w:rPr>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rPr>
        <w:br/>
      </w:r>
      <w:r>
        <w:t>SPECTIVE_components</w:t>
      </w:r>
    </w:p>
    <w:p w14:paraId="43516ED7" w14:textId="753B44A5" w:rsidR="00850157" w:rsidRPr="00534AC0" w:rsidRDefault="00352ED1" w:rsidP="00740AC3">
      <w:pPr>
        <w:pStyle w:val="Standardabsatz"/>
        <w:rPr>
          <w:sz w:val="20"/>
          <w:szCs w:val="20"/>
        </w:rPr>
      </w:pPr>
      <w:r>
        <w:rPr>
          <w:sz w:val="20"/>
        </w:rPr>
        <w:t xml:space="preserve">SPECTIVE darbības koncepcija no </w:t>
      </w:r>
      <w:r>
        <w:rPr>
          <w:i/>
          <w:iCs/>
          <w:sz w:val="20"/>
        </w:rPr>
        <w:t>Kleemann</w:t>
      </w:r>
      <w:r>
        <w:rPr>
          <w:sz w:val="20"/>
        </w:rPr>
        <w:t xml:space="preserve"> - skārienpanelis iekārtā, liela radio tālvadības pults iestatīšanai un braukšanai, maza radio tālvadības pults ar visām darbības funkcijām. SPECTIVE CONNECT - jaunā lietotne ar visu atbilstošo informāciju par iekārtu un atskaitēm no darba vietas.</w:t>
      </w:r>
    </w:p>
    <w:p w14:paraId="66428557" w14:textId="77777777" w:rsidR="008932D9" w:rsidRPr="00534AC0" w:rsidRDefault="008932D9" w:rsidP="00AC1F7A">
      <w:pPr>
        <w:pStyle w:val="Note"/>
        <w:rPr>
          <w:lang w:val="en-GB"/>
        </w:rPr>
      </w:pPr>
    </w:p>
    <w:p w14:paraId="54598B0E" w14:textId="58F6AD73" w:rsidR="00AC1F7A" w:rsidRPr="00534AC0" w:rsidRDefault="00AC1F7A" w:rsidP="00AC1F7A">
      <w:pPr>
        <w:pStyle w:val="Note"/>
      </w:pPr>
      <w:r>
        <w:lastRenderedPageBreak/>
        <w:t xml:space="preserve">Piezīme: Lūdzu, ņemiet vērā: šeit redzamās fotogrāfijas ir tikai priekšskatījumi. Ja vēlaties tās publicēt citos medijos, lūdzu, lejupielādējiet augstākas izšķirtspējas (300 dpi) versijas no </w:t>
      </w:r>
      <w:r w:rsidRPr="009E28BD">
        <w:rPr>
          <w:i w:val="0"/>
        </w:rPr>
        <w:t>Wirtgen Group</w:t>
      </w:r>
      <w:r>
        <w:t xml:space="preserve"> tīmekļa vietnēm.</w:t>
      </w:r>
    </w:p>
    <w:p w14:paraId="53E56922" w14:textId="172295EF" w:rsidR="00134D41" w:rsidRPr="00534AC0" w:rsidRDefault="00134D41" w:rsidP="00134D41">
      <w:pPr>
        <w:pStyle w:val="Absatzberschrift"/>
        <w:rPr>
          <w:iCs/>
        </w:rPr>
      </w:pPr>
      <w:r>
        <w:t>Papildu informācijas iegūšanai, lūdzu, sazinieties ar:</w:t>
      </w:r>
    </w:p>
    <w:p w14:paraId="22FF328B" w14:textId="77777777" w:rsidR="00134D41" w:rsidRPr="00534AC0" w:rsidRDefault="00134D41" w:rsidP="00134D41">
      <w:pPr>
        <w:pStyle w:val="Absatzberschrift"/>
        <w:rPr>
          <w:lang w:val="en-GB"/>
        </w:rPr>
      </w:pPr>
    </w:p>
    <w:p w14:paraId="3342B545" w14:textId="77777777" w:rsidR="00134D41" w:rsidRPr="002B783A" w:rsidRDefault="00134D41" w:rsidP="00134D41">
      <w:pPr>
        <w:pStyle w:val="Absatzberschrift"/>
        <w:rPr>
          <w:b w:val="0"/>
          <w:bCs/>
          <w:szCs w:val="22"/>
        </w:rPr>
      </w:pPr>
      <w:r>
        <w:rPr>
          <w:b w:val="0"/>
        </w:rPr>
        <w:t>WIRTGEN GROUP</w:t>
      </w:r>
    </w:p>
    <w:p w14:paraId="2130E971" w14:textId="77777777" w:rsidR="00134D41" w:rsidRDefault="00134D41" w:rsidP="00134D41">
      <w:pPr>
        <w:pStyle w:val="Fuzeile1"/>
      </w:pPr>
      <w:r>
        <w:t>Sabiedrisko attiecību departaments</w:t>
      </w:r>
    </w:p>
    <w:p w14:paraId="6C785191" w14:textId="77777777" w:rsidR="00134D41" w:rsidRDefault="00134D41" w:rsidP="00134D41">
      <w:pPr>
        <w:pStyle w:val="Fuzeile1"/>
      </w:pPr>
      <w:r>
        <w:t>Reinhard-Wirtgen-Strasse 2</w:t>
      </w:r>
    </w:p>
    <w:p w14:paraId="5EDE0662" w14:textId="77777777" w:rsidR="00134D41" w:rsidRDefault="00134D41" w:rsidP="00134D41">
      <w:pPr>
        <w:pStyle w:val="Fuzeile1"/>
      </w:pPr>
      <w:r>
        <w:t>53578 Vindhāgena</w:t>
      </w:r>
    </w:p>
    <w:p w14:paraId="06A7CE39" w14:textId="77777777" w:rsidR="00134D41" w:rsidRDefault="00134D41" w:rsidP="00134D41">
      <w:pPr>
        <w:pStyle w:val="Fuzeile1"/>
      </w:pPr>
      <w:r>
        <w:t>Vācija</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t xml:space="preserve">Tālrunis: +49-2645-131-1966 </w:t>
      </w:r>
    </w:p>
    <w:p w14:paraId="67865685" w14:textId="77777777" w:rsidR="00134D41" w:rsidRDefault="00134D41" w:rsidP="00134D41">
      <w:pPr>
        <w:pStyle w:val="Fuzeile1"/>
      </w:pPr>
      <w:r>
        <w:t>Telefakss: +49-2645-131-499</w:t>
      </w:r>
    </w:p>
    <w:p w14:paraId="27B22900" w14:textId="23B0ED97" w:rsidR="00134D41" w:rsidRDefault="00134D41" w:rsidP="00134D41">
      <w:pPr>
        <w:pStyle w:val="Fuzeile1"/>
      </w:pPr>
      <w:r>
        <w:t>E-pasts: 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t>www.wirtgen-group.com</w:t>
      </w:r>
    </w:p>
    <w:p w14:paraId="5BD613C5" w14:textId="764F2304" w:rsidR="00134D41" w:rsidRPr="00DA1A33" w:rsidRDefault="00134D41" w:rsidP="00F74540">
      <w:pPr>
        <w:pStyle w:val="Fuzeile1"/>
      </w:pPr>
    </w:p>
    <w:sectPr w:rsidR="00134D41" w:rsidRPr="00DA1A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73E86" w14:textId="77777777" w:rsidR="005266C1" w:rsidRDefault="005266C1" w:rsidP="00E55534">
      <w:r>
        <w:separator/>
      </w:r>
    </w:p>
  </w:endnote>
  <w:endnote w:type="continuationSeparator" w:id="0">
    <w:p w14:paraId="481C88D4" w14:textId="77777777" w:rsidR="005266C1" w:rsidRDefault="005266C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+49-2645-131-0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237DE" w14:textId="77777777" w:rsidR="005266C1" w:rsidRDefault="005266C1" w:rsidP="00E55534">
      <w:r>
        <w:separator/>
      </w:r>
    </w:p>
  </w:footnote>
  <w:footnote w:type="continuationSeparator" w:id="0">
    <w:p w14:paraId="56042394" w14:textId="77777777" w:rsidR="005266C1" w:rsidRDefault="005266C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Header"/>
    </w:pPr>
    <w:r>
      <w:rPr>
        <w:noProof/>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Header"/>
    </w:pPr>
    <w:r>
      <w:rPr>
        <w:noProof/>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Header"/>
    </w:pPr>
    <w:r>
      <w:rPr>
        <w:noProof/>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00.1pt;height:1500.1pt" o:bullet="t">
        <v:imagedata r:id="rId1" o:title="AZ_04a"/>
      </v:shape>
    </w:pict>
  </w:numPicBullet>
  <w:numPicBullet w:numPicBulletId="1">
    <w:pict>
      <v:shape id="_x0000_i105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8"/>
  </w:num>
  <w:num w:numId="14">
    <w:abstractNumId w:val="8"/>
  </w:num>
  <w:num w:numId="15">
    <w:abstractNumId w:val="8"/>
  </w:num>
  <w:num w:numId="16">
    <w:abstractNumId w:val="8"/>
  </w:num>
  <w:num w:numId="17">
    <w:abstractNumId w:val="8"/>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7"/>
  </w:num>
  <w:num w:numId="29">
    <w:abstractNumId w:val="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62AA"/>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1CF"/>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66C1"/>
    <w:rsid w:val="00527131"/>
    <w:rsid w:val="00530E32"/>
    <w:rsid w:val="00533132"/>
    <w:rsid w:val="00533B14"/>
    <w:rsid w:val="00534AC0"/>
    <w:rsid w:val="00537210"/>
    <w:rsid w:val="00537DFD"/>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69E1"/>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28B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2248"/>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32FF"/>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5C7E"/>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389"/>
    <w:rPr>
      <w:rFonts w:ascii="Times New Roman" w:eastAsia="Times New Roman" w:hAnsi="Times New Roman"/>
      <w:sz w:val="24"/>
      <w:szCs w:val="24"/>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rFonts w:ascii="Verdana" w:eastAsia="Verdana" w:hAnsi="Verdana"/>
      <w:color w:val="41535D"/>
      <w:sz w:val="18"/>
      <w:szCs w:val="16"/>
      <w:lang w:eastAsia="en-US"/>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eastAsia="Verdana" w:hAnsi="Tahoma" w:cs="Tahoma"/>
      <w:sz w:val="16"/>
      <w:szCs w:val="16"/>
      <w:lang w:eastAsia="en-US"/>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leChar">
    <w:name w:val="Title Char"/>
    <w:link w:val="Title"/>
    <w:uiPriority w:val="3"/>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Verdana" w:eastAsia="MS Mincho" w:hAnsi="Verdana"/>
      <w:iCs/>
      <w:color w:val="5C666F"/>
      <w:sz w:val="32"/>
      <w:lang w:eastAsia="en-US"/>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Normal"/>
    <w:uiPriority w:val="19"/>
    <w:qFormat/>
    <w:rsid w:val="00B90F78"/>
    <w:rPr>
      <w:rFonts w:ascii="Verdana" w:eastAsia="Verdana" w:hAnsi="Verdana"/>
      <w:caps/>
      <w:sz w:val="14"/>
      <w:szCs w:val="16"/>
      <w:lang w:eastAsia="en-US"/>
    </w:rPr>
  </w:style>
  <w:style w:type="paragraph" w:customStyle="1" w:styleId="Seitenzahlen">
    <w:name w:val="Seitenzahlen"/>
    <w:basedOn w:val="Normal"/>
    <w:uiPriority w:val="19"/>
    <w:qFormat/>
    <w:rsid w:val="00722A17"/>
    <w:pPr>
      <w:jc w:val="right"/>
    </w:pPr>
    <w:rPr>
      <w:rFonts w:ascii="Verdana" w:eastAsia="Verdana" w:hAnsi="Verdana"/>
      <w:caps/>
      <w:sz w:val="14"/>
      <w:szCs w:val="16"/>
      <w:lang w:eastAsia="en-US"/>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rFonts w:ascii="Verdana" w:eastAsia="Verdana" w:hAnsi="Verdana"/>
      <w:sz w:val="20"/>
      <w:szCs w:val="20"/>
      <w:lang w:eastAsia="en-US"/>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ascii="Verdana" w:eastAsiaTheme="minorHAnsi" w:hAnsi="Verdana" w:cstheme="minorBidi"/>
      <w:b/>
      <w:sz w:val="22"/>
      <w:lang w:eastAsia="en-US"/>
    </w:rPr>
  </w:style>
  <w:style w:type="paragraph" w:customStyle="1" w:styleId="BUbold">
    <w:name w:val="BU bold"/>
    <w:basedOn w:val="Normal"/>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Normal"/>
    <w:rsid w:val="00A67C3D"/>
    <w:pPr>
      <w:spacing w:before="100" w:beforeAutospacing="1" w:after="100" w:afterAutospacing="1"/>
    </w:pPr>
  </w:style>
  <w:style w:type="paragraph" w:styleId="Revision">
    <w:name w:val="Revision"/>
    <w:hidden/>
    <w:uiPriority w:val="71"/>
    <w:semiHidden/>
    <w:rsid w:val="0024073B"/>
    <w:rPr>
      <w:sz w:val="16"/>
      <w:szCs w:val="16"/>
      <w:lang w:eastAsia="en-US"/>
    </w:rPr>
  </w:style>
  <w:style w:type="character" w:customStyle="1" w:styleId="apple-converted-space">
    <w:name w:val="apple-converted-space"/>
    <w:basedOn w:val="DefaultParagraphFont"/>
    <w:rsid w:val="00B15441"/>
  </w:style>
  <w:style w:type="paragraph" w:styleId="NormalWeb">
    <w:name w:val="Normal (Web)"/>
    <w:basedOn w:val="Normal"/>
    <w:uiPriority w:val="99"/>
    <w:unhideWhenUsed/>
    <w:rsid w:val="00EC53E2"/>
    <w:pPr>
      <w:spacing w:before="100" w:beforeAutospacing="1" w:after="100" w:afterAutospacing="1"/>
    </w:pPr>
  </w:style>
  <w:style w:type="paragraph" w:styleId="ListParagraph">
    <w:name w:val="List Paragraph"/>
    <w:basedOn w:val="Normal"/>
    <w:uiPriority w:val="34"/>
    <w:qFormat/>
    <w:rsid w:val="00282632"/>
    <w:pPr>
      <w:ind w:left="720"/>
      <w:contextualSpacing/>
    </w:pPr>
  </w:style>
  <w:style w:type="character" w:styleId="Strong">
    <w:name w:val="Strong"/>
    <w:basedOn w:val="DefaultParagraphFon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3621</Words>
  <Characters>2064</Characters>
  <Application>Microsoft Office Word</Application>
  <DocSecurity>0</DocSecurity>
  <Lines>17</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2023-02-16T09:38:00Z</cp:lastPrinted>
  <dcterms:created xsi:type="dcterms:W3CDTF">2023-03-13T07:58:00Z</dcterms:created>
  <dcterms:modified xsi:type="dcterms:W3CDTF">2023-03-13T07:58:00Z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